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00" w:firstRow="0" w:lastRow="0" w:firstColumn="0" w:lastColumn="0" w:noHBand="1" w:noVBand="1"/>
      </w:tblPr>
      <w:tblGrid>
        <w:gridCol w:w="1011"/>
        <w:gridCol w:w="1315"/>
        <w:gridCol w:w="680"/>
        <w:gridCol w:w="2458"/>
        <w:gridCol w:w="2385"/>
        <w:gridCol w:w="1523"/>
        <w:gridCol w:w="1174"/>
        <w:gridCol w:w="542"/>
      </w:tblGrid>
      <w:tr w:rsidRPr="001814D4" w:rsidR="00722D92" w:rsidTr="46CC0DF9" w14:paraId="2FB7C858" w14:textId="77777777">
        <w:trPr>
          <w:gridAfter w:val="1"/>
          <w:wAfter w:w="542" w:type="dxa"/>
          <w:trHeight w:val="868"/>
        </w:trPr>
        <w:tc>
          <w:tcPr>
            <w:tcW w:w="10546" w:type="dxa"/>
            <w:gridSpan w:val="7"/>
            <w:tcMar/>
          </w:tcPr>
          <w:p w:rsidRPr="00A72A95" w:rsidR="00722D92" w:rsidP="000D7C13" w:rsidRDefault="00722D92" w14:paraId="15E28FEA" w14:textId="77777777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46CC0DF9" w14:paraId="4958B0C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16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388DA49F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13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C856C5" w:rsidRDefault="00524EE9" w14:paraId="2CF13AA2" w14:textId="77777777">
            <w:pPr>
              <w:rPr>
                <w:b/>
              </w:rPr>
            </w:pPr>
            <w:r w:rsidRPr="00A508D6">
              <w:rPr>
                <w:b/>
              </w:rPr>
              <w:t>HTU/P</w:t>
            </w:r>
            <w:r w:rsidRPr="00A508D6" w:rsidR="00EB3761">
              <w:rPr>
                <w:b/>
              </w:rPr>
              <w:t>1</w:t>
            </w:r>
            <w:r w:rsidRPr="00A508D6" w:rsidR="00C856C5">
              <w:rPr>
                <w:b/>
              </w:rPr>
              <w:t>2</w:t>
            </w:r>
          </w:p>
        </w:tc>
        <w:tc>
          <w:tcPr>
            <w:tcW w:w="2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3D632EA5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52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524EE9" w14:paraId="210148F5" w14:textId="77777777">
            <w:pPr>
              <w:rPr>
                <w:b/>
              </w:rPr>
            </w:pPr>
            <w:r w:rsidRPr="00A508D6">
              <w:rPr>
                <w:b/>
              </w:rPr>
              <w:t>9/11/2017</w:t>
            </w:r>
          </w:p>
        </w:tc>
      </w:tr>
      <w:tr w:rsidR="00524EE9" w:rsidTr="46CC0DF9" w14:paraId="272384A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16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6A81961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P="00FF6F2D" w:rsidRDefault="00524EE9" w14:paraId="08687A48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13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2D64EE" w:rsidRDefault="008179C2" w14:paraId="2B27C1EC" w14:textId="77777777">
            <w:pPr>
              <w:rPr>
                <w:b/>
              </w:rPr>
            </w:pPr>
            <w:r w:rsidRPr="00A508D6">
              <w:rPr>
                <w:b/>
              </w:rPr>
              <w:t>All Departments</w:t>
            </w:r>
          </w:p>
        </w:tc>
        <w:tc>
          <w:tcPr>
            <w:tcW w:w="2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2F474331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52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524EE9" w14:paraId="5BE97B14" w14:textId="77777777">
            <w:pPr>
              <w:rPr>
                <w:b/>
              </w:rPr>
            </w:pPr>
            <w:r w:rsidRPr="00A508D6">
              <w:rPr>
                <w:b/>
              </w:rPr>
              <w:t>9/11/2017</w:t>
            </w:r>
          </w:p>
        </w:tc>
      </w:tr>
      <w:tr w:rsidR="00524EE9" w:rsidTr="46CC0DF9" w14:paraId="792DBBC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16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18A50B6F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13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A508D6" w14:paraId="0EB4521B" w14:textId="77777777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 Leaders/Deans</w:t>
            </w:r>
          </w:p>
        </w:tc>
        <w:tc>
          <w:tcPr>
            <w:tcW w:w="2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36BE92CD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Pr="00524EE9" w:rsidR="00A508D6" w:rsidP="00FF6F2D" w:rsidRDefault="00A508D6" w14:paraId="481296C4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Revision # </w:t>
            </w:r>
            <w:r w:rsidR="0095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2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630401" w14:paraId="0C2EC44F" w14:textId="74CCBAB0">
            <w:pPr>
              <w:rPr>
                <w:b/>
              </w:rPr>
            </w:pPr>
            <w:r>
              <w:rPr>
                <w:b/>
                <w:color w:val="00B050"/>
              </w:rPr>
              <w:t>10/11/202</w:t>
            </w:r>
            <w:r w:rsidR="00AB44DD">
              <w:rPr>
                <w:b/>
                <w:color w:val="00B050"/>
              </w:rPr>
              <w:t>3</w:t>
            </w:r>
          </w:p>
        </w:tc>
      </w:tr>
      <w:tr w:rsidR="00524EE9" w:rsidTr="46CC0DF9" w14:paraId="4DC4541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16" w:type="dxa"/>
        </w:trPr>
        <w:tc>
          <w:tcPr>
            <w:tcW w:w="232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14AB7" w:rsidR="00524EE9" w:rsidP="00A508D6" w:rsidRDefault="00A508D6" w14:paraId="6A899A28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138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A508D6" w14:paraId="3BEBDADB" w14:textId="77777777">
            <w:pPr>
              <w:rPr>
                <w:b/>
              </w:rPr>
            </w:pPr>
            <w:r>
              <w:rPr>
                <w:b/>
              </w:rPr>
              <w:t xml:space="preserve">Rumiana </w:t>
            </w:r>
            <w:proofErr w:type="spellStart"/>
            <w:r>
              <w:rPr>
                <w:b/>
              </w:rPr>
              <w:t>Bahova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3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A508D6" w14:paraId="6237D3BB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Forward Revision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u w:val="double"/>
              </w:rPr>
              <w:t>Date</w:t>
            </w:r>
          </w:p>
        </w:tc>
        <w:tc>
          <w:tcPr>
            <w:tcW w:w="152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08D6" w:rsidR="00524EE9" w:rsidP="00FF6F2D" w:rsidRDefault="00630401" w14:paraId="12C2946A" w14:textId="6FE6E9E0">
            <w:pPr>
              <w:rPr>
                <w:b/>
              </w:rPr>
            </w:pPr>
            <w:r>
              <w:rPr>
                <w:b/>
                <w:color w:val="FF0000"/>
              </w:rPr>
              <w:t>10/11/202</w:t>
            </w:r>
            <w:r w:rsidR="00AB44DD">
              <w:rPr>
                <w:b/>
                <w:color w:val="FF0000"/>
              </w:rPr>
              <w:t>4</w:t>
            </w:r>
          </w:p>
        </w:tc>
      </w:tr>
      <w:tr w:rsidRPr="001814D4" w:rsidR="00B23F0E" w:rsidTr="46CC0DF9" w14:paraId="37771DA7" w14:textId="77777777">
        <w:tc>
          <w:tcPr>
            <w:tcW w:w="11088" w:type="dxa"/>
            <w:gridSpan w:val="8"/>
            <w:tcMar/>
          </w:tcPr>
          <w:p w:rsidR="00B23F0E" w:rsidP="00524EE9" w:rsidRDefault="00B23F0E" w14:paraId="7FD9D46F" w14:textId="77777777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 w:rsidRPr="46CC0DF9" w:rsidR="00B23F0E">
              <w:rPr>
                <w:rFonts w:ascii="Times New Roman" w:hAnsi="Times New Roman" w:cs="Times New Roman" w:asciiTheme="majorBidi" w:hAnsiTheme="majorBidi" w:cstheme="majorBidi"/>
                <w:b w:val="0"/>
                <w:bCs w:val="0"/>
                <w:sz w:val="36"/>
                <w:szCs w:val="36"/>
              </w:rPr>
              <w:t xml:space="preserve">                                      </w:t>
            </w:r>
          </w:p>
          <w:p w:rsidRPr="00A72A95" w:rsidR="00524EE9" w:rsidP="14163D57" w:rsidRDefault="00490B72" w14:paraId="62B7925E" w14:textId="7614DB01">
            <w:pPr>
              <w:pStyle w:val="UnitTitle"/>
              <w:spacing w:line="360" w:lineRule="auto"/>
            </w:pPr>
            <w:r w:rsidR="04FCC334">
              <w:drawing>
                <wp:inline wp14:editId="31DA8B86" wp14:anchorId="01D465EF">
                  <wp:extent cx="5829300" cy="2064544"/>
                  <wp:effectExtent l="0" t="0" r="0" b="0"/>
                  <wp:docPr id="1791474072" name="" descr="Text Box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b34a874aa6444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206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814D4" w:rsidR="00722D92" w:rsidTr="46CC0DF9" w14:paraId="387E817A" w14:textId="77777777">
        <w:trPr>
          <w:gridAfter w:val="1"/>
          <w:wAfter w:w="542" w:type="dxa"/>
          <w:trHeight w:val="759"/>
        </w:trPr>
        <w:tc>
          <w:tcPr>
            <w:tcW w:w="10546" w:type="dxa"/>
            <w:gridSpan w:val="7"/>
            <w:tcMar/>
          </w:tcPr>
          <w:p w:rsidRPr="00A72A95" w:rsidR="00722D92" w:rsidP="00490B72" w:rsidRDefault="00722D92" w14:paraId="6FB97305" w14:textId="77777777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Pr="001814D4" w:rsidR="00722D92" w:rsidTr="46CC0DF9" w14:paraId="49780195" w14:textId="77777777">
        <w:trPr>
          <w:gridAfter w:val="1"/>
          <w:wAfter w:w="542" w:type="dxa"/>
          <w:trHeight w:val="480"/>
        </w:trPr>
        <w:tc>
          <w:tcPr>
            <w:tcW w:w="3006" w:type="dxa"/>
            <w:gridSpan w:val="3"/>
            <w:tcMar/>
          </w:tcPr>
          <w:p w:rsidRPr="00A72A95" w:rsidR="00722D92" w:rsidP="000D7C13" w:rsidRDefault="00722D92" w14:paraId="6839E622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40" w:type="dxa"/>
            <w:gridSpan w:val="4"/>
            <w:tcMar/>
          </w:tcPr>
          <w:p w:rsidRPr="00A72A95" w:rsidR="00722D92" w:rsidP="000D7C13" w:rsidRDefault="00722D92" w14:paraId="103E84C4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46CC0DF9" w14:paraId="391E20ED" w14:textId="77777777">
        <w:trPr>
          <w:gridAfter w:val="1"/>
          <w:wAfter w:w="542" w:type="dxa"/>
          <w:trHeight w:val="452"/>
        </w:trPr>
        <w:tc>
          <w:tcPr>
            <w:tcW w:w="10546" w:type="dxa"/>
            <w:gridSpan w:val="7"/>
            <w:tcMar/>
          </w:tcPr>
          <w:p w:rsidRPr="00A72A95" w:rsidR="00722D92" w:rsidP="000D7C13" w:rsidRDefault="00722D92" w14:paraId="1BE19BAE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46CC0DF9" w14:paraId="5CE18DC9" w14:textId="77777777">
        <w:trPr>
          <w:gridAfter w:val="1"/>
          <w:wAfter w:w="542" w:type="dxa"/>
        </w:trPr>
        <w:tc>
          <w:tcPr>
            <w:tcW w:w="1011" w:type="dxa"/>
            <w:tcMar/>
          </w:tcPr>
          <w:p w:rsidRPr="00A72A95" w:rsidR="00722D92" w:rsidP="000D7C13" w:rsidRDefault="00722D92" w14:paraId="53E1FF36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35" w:type="dxa"/>
            <w:gridSpan w:val="6"/>
            <w:tcMar/>
          </w:tcPr>
          <w:p w:rsidRPr="00A72A95" w:rsidR="00722D92" w:rsidP="000D7C13" w:rsidRDefault="00722D92" w14:paraId="20088FAA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0D7C13" w:rsidP="000D7C13" w:rsidRDefault="000D7C13" w14:paraId="037C2675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P="000D7C13" w:rsidRDefault="000D7C13" w14:paraId="4CDC04BC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2FAE7CE9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53FABD9A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1814D4" w:rsidP="000D7C13" w:rsidRDefault="001814D4" w14:paraId="5548974F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Pr="00A72A95" w:rsidR="00722D92" w:rsidP="000D7C13" w:rsidRDefault="005F182F" w14:paraId="54093AED" w14:textId="77777777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34FCB3CE" wp14:editId="5D8AAA52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72A95" w:rsidR="00722D92" w:rsidP="000D7C13" w:rsidRDefault="00722D92" w14:paraId="012666F3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39482B61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20B4FD6F" w14:textId="77777777">
      <w:pPr>
        <w:spacing w:line="360" w:lineRule="auto"/>
        <w:rPr>
          <w:rFonts w:asciiTheme="majorBidi" w:hAnsiTheme="majorBidi" w:cstheme="majorBidi"/>
        </w:rPr>
      </w:pPr>
    </w:p>
    <w:p w:rsidR="004730F3" w:rsidP="002D64EE" w:rsidRDefault="004730F3" w14:paraId="5A6B5E6B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4730F3" w:rsidP="002D64EE" w:rsidRDefault="004730F3" w14:paraId="64121991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4730F3" w:rsidP="46CC0DF9" w:rsidRDefault="004730F3" w14:paraId="256BC2B1" w14:textId="77777777" w14:noSpellErr="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5A9EF7FC" w14:textId="342A7335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292A90CB" w14:textId="28AE1DB7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59BCDD5C" w14:textId="7F3E0E41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388F228A" w14:textId="3D5FDE8A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5D546065" w14:textId="4EAB183F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46A394A1" w14:textId="2FA60CF1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46CC0DF9" w:rsidP="46CC0DF9" w:rsidRDefault="46CC0DF9" w14:paraId="654A53FD" w14:textId="00CDE8B0">
      <w:pPr>
        <w:pStyle w:val="Normal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36"/>
          <w:szCs w:val="36"/>
          <w:lang w:val="en-GB"/>
        </w:rPr>
      </w:pPr>
    </w:p>
    <w:p w:rsidR="00630401" w:rsidP="00630401" w:rsidRDefault="00630401" w14:paraId="3218D32C" w14:textId="701AEC34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t>Th</w:t>
      </w:r>
      <w:r w:rsidR="008A3F68">
        <w:rPr>
          <w:rFonts w:asciiTheme="majorBidi" w:hAnsiTheme="majorBidi" w:cstheme="majorBidi"/>
          <w:b/>
          <w:highlight w:val="yellow"/>
        </w:rPr>
        <w:t xml:space="preserve">is Document was last </w:t>
      </w:r>
      <w:proofErr w:type="gramStart"/>
      <w:r w:rsidR="008A3F68">
        <w:rPr>
          <w:rFonts w:asciiTheme="majorBidi" w:hAnsiTheme="majorBidi" w:cstheme="majorBidi"/>
          <w:b/>
          <w:highlight w:val="yellow"/>
        </w:rPr>
        <w:t>revised :</w:t>
      </w:r>
      <w:proofErr w:type="gramEnd"/>
      <w:r w:rsidR="008A3F68">
        <w:rPr>
          <w:rFonts w:asciiTheme="majorBidi" w:hAnsiTheme="majorBidi" w:cstheme="majorBidi"/>
          <w:b/>
          <w:highlight w:val="yellow"/>
        </w:rPr>
        <w:t xml:space="preserve"> 10</w:t>
      </w:r>
      <w:r>
        <w:rPr>
          <w:rFonts w:asciiTheme="majorBidi" w:hAnsiTheme="majorBidi" w:cstheme="majorBidi"/>
          <w:b/>
          <w:highlight w:val="yellow"/>
        </w:rPr>
        <w:t>th November 202</w:t>
      </w:r>
      <w:r w:rsidRPr="00AB44DD" w:rsidR="00AB44DD">
        <w:rPr>
          <w:rFonts w:asciiTheme="majorBidi" w:hAnsiTheme="majorBidi" w:cstheme="majorBidi"/>
          <w:b/>
          <w:highlight w:val="yellow"/>
        </w:rPr>
        <w:t>3</w:t>
      </w:r>
    </w:p>
    <w:p w:rsidR="00630401" w:rsidP="002D64EE" w:rsidRDefault="00630401" w14:paraId="7D6A14C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Pr="00FC7632" w:rsidR="000D7C13" w:rsidP="002D64EE" w:rsidRDefault="008179C2" w14:paraId="69ABEF4E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8179C2">
        <w:rPr>
          <w:rFonts w:asciiTheme="majorBidi" w:hAnsiTheme="majorBidi" w:cstheme="majorBidi"/>
          <w:b/>
          <w:bCs/>
          <w:sz w:val="36"/>
          <w:szCs w:val="36"/>
          <w:lang w:val="en-GB"/>
        </w:rPr>
        <w:t>Learner support</w:t>
      </w:r>
      <w:r w:rsidRPr="00EB3761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</w:t>
      </w:r>
      <w:r w:rsidRPr="00EB3761" w:rsidR="00EB3761">
        <w:rPr>
          <w:rFonts w:asciiTheme="majorBidi" w:hAnsiTheme="majorBidi" w:cstheme="majorBidi"/>
          <w:b/>
          <w:bCs/>
          <w:sz w:val="36"/>
          <w:szCs w:val="36"/>
          <w:lang w:val="en-GB"/>
        </w:rPr>
        <w:t>Policy</w:t>
      </w:r>
    </w:p>
    <w:p w:rsidR="006B23E9" w:rsidP="006B23E9" w:rsidRDefault="006B23E9" w14:paraId="04087B73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Pr="00BA0A99" w:rsidR="00BA0A99" w:rsidP="00BA0A99" w:rsidRDefault="00BA0A99" w14:paraId="5474A4C5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Pr="006F259D" w:rsidR="00BA0A99" w:rsidP="001F6B70" w:rsidRDefault="00BA0A99" w14:paraId="19E20A09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Introduction </w:t>
      </w:r>
    </w:p>
    <w:p w:rsidRPr="00BA0A99" w:rsidR="00BA0A99" w:rsidP="2A19EE84" w:rsidRDefault="00BA0A99" w14:paraId="0FA7C766" w14:textId="77777777" w14:noSpellErr="1">
      <w:pPr>
        <w:autoSpaceDE w:val="0"/>
        <w:autoSpaceDN w:val="0"/>
        <w:adjustRightInd w:val="0"/>
        <w:spacing w:after="0" w:line="240" w:lineRule="auto"/>
        <w:rPr>
          <w:rFonts w:ascii="Arial" w:hAnsi="Arial" w:asciiTheme="minorBidi" w:hAnsiTheme="minorBidi"/>
          <w:b w:val="1"/>
          <w:bCs w:val="1"/>
          <w:color w:val="000000"/>
        </w:rPr>
      </w:pP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> The purpose of this policy is to ensure that all learners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 xml:space="preserve"> receive the necessary advice, 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>guidance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 xml:space="preserve"> and support 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>in order to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 xml:space="preserve"> </w:t>
      </w:r>
      <w:r w:rsidRPr="2A19EE84" w:rsidR="004730F3">
        <w:rPr>
          <w:rFonts w:ascii="Arial" w:hAnsi="Arial" w:asciiTheme="minorBidi" w:hAnsiTheme="minorBidi"/>
          <w:color w:val="000000" w:themeColor="text1" w:themeTint="FF" w:themeShade="FF"/>
        </w:rPr>
        <w:t>optimize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 xml:space="preserve"> their achievement on courses that are completely 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>appropriate to</w:t>
      </w:r>
      <w:r w:rsidRPr="2A19EE84" w:rsidR="00BA0A99">
        <w:rPr>
          <w:rFonts w:ascii="Arial" w:hAnsi="Arial" w:asciiTheme="minorBidi" w:hAnsiTheme="minorBidi"/>
          <w:color w:val="000000" w:themeColor="text1" w:themeTint="FF" w:themeShade="FF"/>
        </w:rPr>
        <w:t xml:space="preserve"> their needs. </w:t>
      </w:r>
      <w:r w:rsidRPr="2A19EE84" w:rsidR="008B18F4">
        <w:rPr>
          <w:rFonts w:ascii="Arial" w:hAnsi="Arial" w:asciiTheme="minorBidi" w:hAnsiTheme="minorBidi"/>
          <w:b w:val="1"/>
          <w:bCs w:val="1"/>
          <w:color w:val="000000" w:themeColor="text1" w:themeTint="FF" w:themeShade="FF"/>
          <w:highlight w:val="yellow"/>
        </w:rPr>
        <w:t>( Open</w:t>
      </w:r>
      <w:r w:rsidRPr="2A19EE84" w:rsidR="008B18F4">
        <w:rPr>
          <w:rFonts w:ascii="Arial" w:hAnsi="Arial" w:asciiTheme="minorBidi" w:hAnsiTheme="minorBidi"/>
          <w:b w:val="1"/>
          <w:bCs w:val="1"/>
          <w:color w:val="000000" w:themeColor="text1" w:themeTint="FF" w:themeShade="FF"/>
          <w:highlight w:val="yellow"/>
        </w:rPr>
        <w:t xml:space="preserve"> </w:t>
      </w:r>
      <w:r w:rsidRPr="2A19EE84" w:rsidR="008B18F4">
        <w:rPr>
          <w:rFonts w:ascii="Arial" w:hAnsi="Arial" w:asciiTheme="minorBidi" w:hAnsiTheme="minorBidi"/>
          <w:b w:val="1"/>
          <w:bCs w:val="1"/>
          <w:color w:val="000000" w:themeColor="text1" w:themeTint="FF" w:themeShade="FF"/>
          <w:highlight w:val="yellow"/>
        </w:rPr>
        <w:t>days</w:t>
      </w:r>
      <w:r w:rsidRPr="2A19EE84" w:rsidR="008B18F4">
        <w:rPr>
          <w:rFonts w:ascii="Arial" w:hAnsi="Arial" w:asciiTheme="minorBidi" w:hAnsiTheme="minorBidi"/>
          <w:b w:val="1"/>
          <w:bCs w:val="1"/>
          <w:color w:val="000000" w:themeColor="text1" w:themeTint="FF" w:themeShade="FF"/>
          <w:highlight w:val="yellow"/>
        </w:rPr>
        <w:t xml:space="preserve"> induction sessions are scheduled across all qu</w:t>
      </w:r>
      <w:r w:rsidRPr="2A19EE84" w:rsidR="00B029F0">
        <w:rPr>
          <w:rFonts w:ascii="Arial" w:hAnsi="Arial" w:asciiTheme="minorBidi" w:hAnsiTheme="minorBidi"/>
          <w:b w:val="1"/>
          <w:bCs w:val="1"/>
          <w:color w:val="000000" w:themeColor="text1" w:themeTint="FF" w:themeShade="FF"/>
          <w:highlight w:val="yellow"/>
        </w:rPr>
        <w:t xml:space="preserve">alifications prior to admission in addition to a personal interview after a candidate has been </w:t>
      </w:r>
      <w:r w:rsidRPr="2A19EE84" w:rsidR="00B029F0">
        <w:rPr>
          <w:rFonts w:ascii="Arial" w:hAnsi="Arial" w:asciiTheme="minorBidi" w:hAnsiTheme="minorBidi"/>
          <w:b w:val="1"/>
          <w:bCs w:val="1"/>
          <w:color w:val="000000" w:themeColor="text1" w:themeTint="FF" w:themeShade="FF"/>
          <w:highlight w:val="yellow"/>
        </w:rPr>
        <w:t>shortlisted.</w:t>
      </w:r>
    </w:p>
    <w:p w:rsidRPr="00BA0A99" w:rsidR="00BA0A99" w:rsidP="00BA0A99" w:rsidRDefault="00BA0A99" w14:paraId="32995C8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9544AD" w:rsidR="00BA0A99" w:rsidP="001F6B70" w:rsidRDefault="00BA0A99" w14:paraId="407ED9DE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Ethos &amp; aims </w:t>
      </w:r>
    </w:p>
    <w:p w:rsidRPr="009544AD" w:rsidR="009544AD" w:rsidP="009544AD" w:rsidRDefault="009544AD" w14:paraId="5D78F00A" w14:textId="77777777">
      <w:pPr>
        <w:autoSpaceDE w:val="0"/>
        <w:autoSpaceDN w:val="0"/>
        <w:adjustRightInd w:val="0"/>
        <w:spacing w:after="0" w:line="240" w:lineRule="auto"/>
        <w:ind w:left="60"/>
        <w:rPr>
          <w:rFonts w:asciiTheme="minorBidi" w:hAnsiTheme="minorBidi"/>
          <w:color w:val="000000"/>
          <w:sz w:val="23"/>
          <w:szCs w:val="23"/>
        </w:rPr>
      </w:pPr>
    </w:p>
    <w:p w:rsidR="00BA0A99" w:rsidP="00BA0A99" w:rsidRDefault="00BA0A99" w14:paraId="039D9A09" w14:textId="77777777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All learners will receive advice or information specific to the course on which they wish to </w:t>
      </w:r>
      <w:r w:rsidRPr="00BA0A99" w:rsidR="004730F3">
        <w:rPr>
          <w:rFonts w:asciiTheme="minorBidi" w:hAnsiTheme="minorBidi"/>
          <w:color w:val="000000"/>
        </w:rPr>
        <w:t>e</w:t>
      </w:r>
      <w:r w:rsidRPr="006F259D" w:rsidR="004730F3">
        <w:rPr>
          <w:rFonts w:asciiTheme="minorBidi" w:hAnsiTheme="minorBidi"/>
          <w:color w:val="000000"/>
        </w:rPr>
        <w:t>nroll</w:t>
      </w:r>
      <w:r w:rsidRPr="006F259D">
        <w:rPr>
          <w:rFonts w:asciiTheme="minorBidi" w:hAnsiTheme="minorBidi"/>
          <w:color w:val="000000"/>
        </w:rPr>
        <w:t>. All Learners</w:t>
      </w:r>
      <w:r w:rsidRPr="00BA0A99">
        <w:rPr>
          <w:rFonts w:asciiTheme="minorBidi" w:hAnsiTheme="minorBidi"/>
          <w:color w:val="000000"/>
        </w:rPr>
        <w:t xml:space="preserve"> will receive an initial and diagnostic assessment and an induction. See </w:t>
      </w:r>
      <w:r w:rsidRPr="006F259D">
        <w:rPr>
          <w:rFonts w:asciiTheme="minorBidi" w:hAnsiTheme="minorBidi"/>
          <w:color w:val="000000"/>
        </w:rPr>
        <w:t>L</w:t>
      </w:r>
      <w:r w:rsidRPr="00BA0A99">
        <w:rPr>
          <w:rFonts w:asciiTheme="minorBidi" w:hAnsiTheme="minorBidi"/>
          <w:b/>
          <w:bCs/>
          <w:color w:val="000000"/>
        </w:rPr>
        <w:t>earning Recruitment &amp; Selection Policy</w:t>
      </w:r>
      <w:r w:rsidRPr="00BA0A99">
        <w:rPr>
          <w:rFonts w:asciiTheme="minorBidi" w:hAnsiTheme="minorBidi"/>
          <w:color w:val="000000"/>
        </w:rPr>
        <w:t xml:space="preserve">. </w:t>
      </w:r>
    </w:p>
    <w:p w:rsidRPr="00BA0A99" w:rsidR="009544AD" w:rsidP="00BA0A99" w:rsidRDefault="009544AD" w14:paraId="502AFC0C" w14:textId="77777777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</w:p>
    <w:p w:rsidR="00BA0A99" w:rsidP="00BA0A99" w:rsidRDefault="00BA0A99" w14:paraId="1C143BB8" w14:textId="77777777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> The procedures and practices which</w:t>
      </w:r>
      <w:r w:rsidRPr="006F259D">
        <w:rPr>
          <w:rFonts w:asciiTheme="minorBidi" w:hAnsiTheme="minorBidi"/>
          <w:color w:val="000000"/>
        </w:rPr>
        <w:t xml:space="preserve"> fall under Learner</w:t>
      </w:r>
      <w:r w:rsidRPr="00BA0A99">
        <w:rPr>
          <w:rFonts w:asciiTheme="minorBidi" w:hAnsiTheme="minorBidi"/>
          <w:color w:val="000000"/>
        </w:rPr>
        <w:t xml:space="preserve"> Support will reflect the Mission Statement, Values and Strategic Objectives of the Service. </w:t>
      </w:r>
    </w:p>
    <w:p w:rsidRPr="00BA0A99" w:rsidR="009544AD" w:rsidP="00BA0A99" w:rsidRDefault="009544AD" w14:paraId="4F43AFC6" w14:textId="77777777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</w:p>
    <w:p w:rsidRPr="00BA0A99" w:rsidR="00BA0A99" w:rsidP="00BA0A99" w:rsidRDefault="00BA0A99" w14:paraId="72BB2607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The Service </w:t>
      </w:r>
      <w:r w:rsidRPr="00BA0A99" w:rsidR="004730F3">
        <w:rPr>
          <w:rFonts w:asciiTheme="minorBidi" w:hAnsiTheme="minorBidi"/>
          <w:color w:val="000000"/>
        </w:rPr>
        <w:t>endeavors</w:t>
      </w:r>
      <w:r w:rsidRPr="00BA0A99">
        <w:rPr>
          <w:rFonts w:asciiTheme="minorBidi" w:hAnsiTheme="minorBidi"/>
          <w:color w:val="000000"/>
        </w:rPr>
        <w:t xml:space="preserve"> to make the courses and learning as accessible as possible, in line with our </w:t>
      </w:r>
      <w:r w:rsidRPr="00BA0A99">
        <w:rPr>
          <w:rFonts w:asciiTheme="minorBidi" w:hAnsiTheme="minorBidi"/>
          <w:b/>
          <w:bCs/>
          <w:color w:val="000000"/>
        </w:rPr>
        <w:t xml:space="preserve">Equality&amp; Diversity Policy </w:t>
      </w:r>
      <w:r w:rsidRPr="00BA0A99">
        <w:rPr>
          <w:rFonts w:asciiTheme="minorBidi" w:hAnsiTheme="minorBidi"/>
          <w:color w:val="000000"/>
        </w:rPr>
        <w:t xml:space="preserve">and our </w:t>
      </w:r>
      <w:r w:rsidRPr="00BA0A99">
        <w:rPr>
          <w:rFonts w:asciiTheme="minorBidi" w:hAnsiTheme="minorBidi"/>
          <w:b/>
          <w:bCs/>
          <w:color w:val="000000"/>
        </w:rPr>
        <w:t>Disability Statement</w:t>
      </w:r>
      <w:r w:rsidRPr="00BA0A99">
        <w:rPr>
          <w:rFonts w:asciiTheme="minorBidi" w:hAnsiTheme="minorBidi"/>
          <w:color w:val="000000"/>
        </w:rPr>
        <w:t xml:space="preserve">. </w:t>
      </w:r>
    </w:p>
    <w:p w:rsidRPr="00BA0A99" w:rsidR="00BA0A99" w:rsidP="00BA0A99" w:rsidRDefault="00BA0A99" w14:paraId="10AED85A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6F259D" w:rsidR="00BA0A99" w:rsidP="001F6B70" w:rsidRDefault="00BA0A99" w14:paraId="1EAEA74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Responsibility &amp; scope </w:t>
      </w:r>
    </w:p>
    <w:p w:rsidRPr="00BA0A99" w:rsidR="00BA0A99" w:rsidP="00BA0A99" w:rsidRDefault="00BA0A99" w14:paraId="2D53F336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This policy covers all learners and all academic, learner support and enrolment staff who are involved in learner guidance and support. </w:t>
      </w:r>
    </w:p>
    <w:p w:rsidRPr="00BA0A99" w:rsidR="00BA0A99" w:rsidP="00BA0A99" w:rsidRDefault="00BA0A99" w14:paraId="08A61CB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6F259D" w:rsidR="00BA0A99" w:rsidP="001F6B70" w:rsidRDefault="00BA0A99" w14:paraId="67A9220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Implementation </w:t>
      </w:r>
    </w:p>
    <w:p w:rsidRPr="006F259D" w:rsidR="00BA0A99" w:rsidP="00BA0A99" w:rsidRDefault="00BA0A99" w14:paraId="5E8B3631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BA0A99" w:rsidR="00BA0A99" w:rsidP="00BA0A99" w:rsidRDefault="00BA0A99" w14:paraId="1DAAD2DD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i/>
          <w:iCs/>
          <w:color w:val="000000"/>
        </w:rPr>
        <w:t xml:space="preserve">The following are the responsibility of admissions and enrolment staff &amp; Tutors: </w:t>
      </w:r>
    </w:p>
    <w:p w:rsidRPr="00BA0A99" w:rsidR="00BA0A99" w:rsidP="00BA0A99" w:rsidRDefault="00BA0A99" w14:paraId="3D6832B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Pr="00BA0A99" w:rsidR="00BA0A99" w:rsidP="00BA0A99" w:rsidRDefault="00BA0A99" w14:paraId="616D71F0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1. All learners will be encouraged to disclose their additional support needs before starting a course. </w:t>
      </w:r>
    </w:p>
    <w:p w:rsidRPr="00BA0A99" w:rsidR="00BA0A99" w:rsidP="00BA0A99" w:rsidRDefault="00BA0A99" w14:paraId="3EB8E286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>2. The need for Learning Support will be captured through: the telephone hotline, the enrolment form, init</w:t>
      </w:r>
      <w:r w:rsidRPr="006F259D">
        <w:rPr>
          <w:rFonts w:asciiTheme="minorBidi" w:hAnsiTheme="minorBidi"/>
          <w:color w:val="000000"/>
        </w:rPr>
        <w:t xml:space="preserve">ial assessment, </w:t>
      </w:r>
      <w:r w:rsidRPr="00BA0A99">
        <w:rPr>
          <w:rFonts w:asciiTheme="minorBidi" w:hAnsiTheme="minorBidi"/>
          <w:color w:val="000000"/>
        </w:rPr>
        <w:t xml:space="preserve">and tutors’ monitoring of learners during the course. </w:t>
      </w:r>
    </w:p>
    <w:p w:rsidRPr="00BA0A99" w:rsidR="00BA0A99" w:rsidP="00BA0A99" w:rsidRDefault="00BA0A99" w14:paraId="55D6FC74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>3. Additionally, information on Learning Support and other support services will be provided to learners in the Prospectus, Learner Handbook and in other leaflets displayed at reception</w:t>
      </w:r>
      <w:r w:rsidRPr="006F259D">
        <w:rPr>
          <w:rFonts w:asciiTheme="minorBidi" w:hAnsiTheme="minorBidi"/>
          <w:color w:val="000000"/>
        </w:rPr>
        <w:t xml:space="preserve"> </w:t>
      </w:r>
      <w:r w:rsidRPr="00BA0A99">
        <w:rPr>
          <w:rFonts w:asciiTheme="minorBidi" w:hAnsiTheme="minorBidi"/>
          <w:color w:val="000000"/>
        </w:rPr>
        <w:t xml:space="preserve">desks. Learning support staff will visit classes to explain the services available to learners. </w:t>
      </w:r>
    </w:p>
    <w:p w:rsidRPr="00BA0A99" w:rsidR="00BA0A99" w:rsidP="00BA0A99" w:rsidRDefault="00BA0A99" w14:paraId="339FDCD0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lastRenderedPageBreak/>
        <w:t xml:space="preserve">4. Learning Support will be included in the staff induction process. Tutors will also have relevant information in their handbooks. </w:t>
      </w:r>
    </w:p>
    <w:p w:rsidRPr="00BA0A99" w:rsidR="00BA0A99" w:rsidP="00BA0A99" w:rsidRDefault="00BA0A99" w14:paraId="16E6D5E8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5. Learning Support Coordinators will liaise regularly with tutors to discuss individual learner progress and the provision of support. </w:t>
      </w:r>
    </w:p>
    <w:p w:rsidRPr="00BA0A99" w:rsidR="00BA0A99" w:rsidP="00BA0A99" w:rsidRDefault="00BA0A99" w14:paraId="30A8DD8E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6. All learners who identify additional support needs will be invited for a personal interview (wherever appropriate) where the learner will discuss and agree to a learning support plan. </w:t>
      </w:r>
    </w:p>
    <w:p w:rsidR="00BA0A99" w:rsidP="00BA0A99" w:rsidRDefault="00BA0A99" w14:paraId="594853DF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7. Learning support will be provided on an appropriate basis which will include 1:1 support, group support, classroom support, specialist assessment, drop-in sessions, IT support and specialist equipment. </w:t>
      </w:r>
    </w:p>
    <w:p w:rsidRPr="00BA0A99" w:rsidR="004730F3" w:rsidP="00BA0A99" w:rsidRDefault="004730F3" w14:paraId="46C67032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4730F3">
        <w:rPr>
          <w:rFonts w:asciiTheme="minorBidi" w:hAnsiTheme="minorBidi"/>
          <w:color w:val="000000"/>
          <w:highlight w:val="yellow"/>
        </w:rPr>
        <w:t>8. During extenuating circumstances, like Pandemics, HTU will make sure to provide the necessary learner’s support and orientations online through virtual platforms.</w:t>
      </w:r>
    </w:p>
    <w:p w:rsidR="00BA0A99" w:rsidP="00BA0A99" w:rsidRDefault="00BA0A99" w14:paraId="45CB145E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6F259D">
        <w:rPr>
          <w:rFonts w:asciiTheme="minorBidi" w:hAnsiTheme="minorBidi"/>
          <w:color w:val="000000"/>
        </w:rPr>
        <w:t>8. The Learning Support office</w:t>
      </w:r>
      <w:r w:rsidRPr="00BA0A99">
        <w:rPr>
          <w:rFonts w:asciiTheme="minorBidi" w:hAnsiTheme="minorBidi"/>
          <w:color w:val="000000"/>
        </w:rPr>
        <w:t xml:space="preserve"> will document the type of the support provided and progress towards agreed</w:t>
      </w:r>
      <w:r w:rsidRPr="006F259D">
        <w:rPr>
          <w:rFonts w:asciiTheme="minorBidi" w:hAnsiTheme="minorBidi"/>
          <w:color w:val="000000"/>
        </w:rPr>
        <w:t xml:space="preserve"> goals. The Learning Support review document</w:t>
      </w:r>
      <w:r w:rsidRPr="00BA0A99">
        <w:rPr>
          <w:rFonts w:asciiTheme="minorBidi" w:hAnsiTheme="minorBidi"/>
          <w:color w:val="000000"/>
        </w:rPr>
        <w:t xml:space="preserve"> will be reviewed regularly by learner and tutor who will sign and date each review. </w:t>
      </w:r>
    </w:p>
    <w:p w:rsidRPr="00BA0A99" w:rsidR="00E54E52" w:rsidP="00BA0A99" w:rsidRDefault="00E54E52" w14:paraId="1AD92AB3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</w:p>
    <w:p w:rsidR="00BA0A99" w:rsidP="00BA0A99" w:rsidRDefault="00BA0A99" w14:paraId="1847D29F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9. All learners will have access to the Learning </w:t>
      </w:r>
      <w:proofErr w:type="spellStart"/>
      <w:r w:rsidRPr="00BA0A99">
        <w:rPr>
          <w:rFonts w:asciiTheme="minorBidi" w:hAnsiTheme="minorBidi"/>
          <w:color w:val="000000"/>
        </w:rPr>
        <w:t>Centres</w:t>
      </w:r>
      <w:proofErr w:type="spellEnd"/>
      <w:r w:rsidRPr="00BA0A99">
        <w:rPr>
          <w:rFonts w:asciiTheme="minorBidi" w:hAnsiTheme="minorBidi"/>
          <w:color w:val="000000"/>
        </w:rPr>
        <w:t xml:space="preserve"> for open and flexible learning, careers guidance information and inexpensive photocopying and printing. S</w:t>
      </w:r>
      <w:r w:rsidRPr="006F259D">
        <w:rPr>
          <w:rFonts w:asciiTheme="minorBidi" w:hAnsiTheme="minorBidi"/>
          <w:color w:val="000000"/>
        </w:rPr>
        <w:t xml:space="preserve">taff will be on hand to assist, </w:t>
      </w:r>
      <w:r w:rsidRPr="00BA0A99">
        <w:rPr>
          <w:rFonts w:asciiTheme="minorBidi" w:hAnsiTheme="minorBidi"/>
          <w:color w:val="000000"/>
        </w:rPr>
        <w:t xml:space="preserve">advise and support learners and provide induction sessions on the computers. </w:t>
      </w:r>
    </w:p>
    <w:p w:rsidR="00BA0A99" w:rsidP="00BA0A99" w:rsidRDefault="00BA0A99" w14:paraId="1667DD14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10. Free careers guidance will be available to all learners and prospective learners from a fully qualified and experienced Careers Adviser. Learners will be entitled to attend a personal interview and regular workshops. Our Careers Service holds the Matrix award. </w:t>
      </w:r>
    </w:p>
    <w:p w:rsidRPr="00BA0A99" w:rsidR="00E54E52" w:rsidP="00BA0A99" w:rsidRDefault="00E54E52" w14:paraId="29990E66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</w:p>
    <w:p w:rsidRPr="006F259D" w:rsidR="00BA0A99" w:rsidP="00BA0A99" w:rsidRDefault="00BA0A99" w14:paraId="6FCA397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11. Learners will be provided with information on available grants including the Learner Support Fund and the Learner Association hardship fund. </w:t>
      </w:r>
    </w:p>
    <w:p w:rsidRPr="00BA0A99" w:rsidR="00BA0A99" w:rsidP="00BA0A99" w:rsidRDefault="00BA0A99" w14:paraId="3C0C79D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Pr="006F259D" w:rsidR="00BA0A99" w:rsidP="00BA0A99" w:rsidRDefault="00BA0A99" w14:paraId="45AA98F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Pr="00A508D6" w:rsidR="00BA0A99" w:rsidP="00BA0A99" w:rsidRDefault="00BA0A99" w14:paraId="3CBA8170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iCs/>
        </w:rPr>
      </w:pPr>
      <w:r w:rsidRPr="00A508D6">
        <w:rPr>
          <w:rFonts w:asciiTheme="minorBidi" w:hAnsiTheme="minorBidi"/>
          <w:b/>
          <w:iCs/>
        </w:rPr>
        <w:t>The following are the responsibility of Academic staff in the Deanships:</w:t>
      </w:r>
    </w:p>
    <w:p w:rsidRPr="00BA0A99" w:rsidR="00BA0A99" w:rsidP="00BA0A99" w:rsidRDefault="00BA0A99" w14:paraId="5A04736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P="00BA0A99" w:rsidRDefault="00BA0A99" w14:paraId="77CB84AA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1. Heads of Faculty will ensure Learning Support staff are involved in termly Course Review meetings where appropriate. </w:t>
      </w:r>
    </w:p>
    <w:p w:rsidRPr="00BA0A99" w:rsidR="00E54E52" w:rsidP="00BA0A99" w:rsidRDefault="00E54E52" w14:paraId="55AD5695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</w:p>
    <w:p w:rsidR="00BA0A99" w:rsidP="00BA0A99" w:rsidRDefault="00BA0A99" w14:paraId="75DF7076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2. All learners will receive regular and constructive feedback from tutors on their progress. Progress of learners will be clearly documented. See our </w:t>
      </w:r>
      <w:r w:rsidRPr="00BA0A99">
        <w:rPr>
          <w:rFonts w:asciiTheme="minorBidi" w:hAnsiTheme="minorBidi"/>
          <w:b/>
          <w:bCs/>
        </w:rPr>
        <w:t>Assessment Policy</w:t>
      </w:r>
      <w:r w:rsidRPr="006F259D">
        <w:rPr>
          <w:rFonts w:asciiTheme="minorBidi" w:hAnsiTheme="minorBidi"/>
        </w:rPr>
        <w:t xml:space="preserve"> and </w:t>
      </w:r>
      <w:r w:rsidRPr="00BA0A99">
        <w:rPr>
          <w:rFonts w:asciiTheme="minorBidi" w:hAnsiTheme="minorBidi"/>
          <w:b/>
          <w:bCs/>
        </w:rPr>
        <w:t>Learner</w:t>
      </w:r>
      <w:r w:rsidRPr="006F259D">
        <w:rPr>
          <w:rFonts w:asciiTheme="minorBidi" w:hAnsiTheme="minorBidi"/>
          <w:b/>
          <w:bCs/>
        </w:rPr>
        <w:t xml:space="preserve"> Recruitment &amp; Selection Policy</w:t>
      </w:r>
      <w:r w:rsidRPr="00BA0A99">
        <w:rPr>
          <w:rFonts w:asciiTheme="minorBidi" w:hAnsiTheme="minorBidi"/>
        </w:rPr>
        <w:t xml:space="preserve">. </w:t>
      </w:r>
    </w:p>
    <w:p w:rsidRPr="00BA0A99" w:rsidR="00E54E52" w:rsidP="00BA0A99" w:rsidRDefault="00E54E52" w14:paraId="17EA5302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</w:p>
    <w:p w:rsidR="00BA0A99" w:rsidP="00BA0A99" w:rsidRDefault="00BA0A99" w14:paraId="137F3C2F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3. Drop in/study skills workshops will be offered to all students. </w:t>
      </w:r>
    </w:p>
    <w:p w:rsidRPr="00BA0A99" w:rsidR="00E54E52" w:rsidP="00BA0A99" w:rsidRDefault="00E54E52" w14:paraId="1334A35B" w14:textId="77777777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</w:p>
    <w:p w:rsidRPr="00E54E52" w:rsidR="00BA0A99" w:rsidP="00E54E52" w:rsidRDefault="00BA0A99" w14:paraId="656B8A16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E54E52">
        <w:rPr>
          <w:rFonts w:asciiTheme="minorBidi" w:hAnsiTheme="minorBidi"/>
        </w:rPr>
        <w:t xml:space="preserve">All learners will receive comprehensive advice on progression routes. </w:t>
      </w:r>
    </w:p>
    <w:p w:rsidRPr="00E54E52" w:rsidR="00E54E52" w:rsidP="00E54E52" w:rsidRDefault="00E54E52" w14:paraId="699D5863" w14:textId="77777777">
      <w:pPr>
        <w:autoSpaceDE w:val="0"/>
        <w:autoSpaceDN w:val="0"/>
        <w:adjustRightInd w:val="0"/>
        <w:spacing w:after="13" w:line="240" w:lineRule="auto"/>
        <w:ind w:left="60"/>
        <w:rPr>
          <w:rFonts w:asciiTheme="minorBidi" w:hAnsiTheme="minorBidi"/>
        </w:rPr>
      </w:pPr>
    </w:p>
    <w:p w:rsidRPr="00BA0A99" w:rsidR="00BA0A99" w:rsidP="00BA0A99" w:rsidRDefault="00BA0A99" w14:paraId="5454CB7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5. Basic Skills awareness training will be made available to all staff who require it. </w:t>
      </w:r>
    </w:p>
    <w:p w:rsidRPr="00BA0A99" w:rsidR="00BA0A99" w:rsidP="00BA0A99" w:rsidRDefault="00BA0A99" w14:paraId="540E9DF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Pr="006F259D" w:rsidR="00BA0A99" w:rsidP="00BA0A99" w:rsidRDefault="00BA0A99" w14:paraId="4FCE479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Pr="00E54E52" w:rsidR="00BA0A99" w:rsidP="00BA0A99" w:rsidRDefault="00BA0A99" w14:paraId="379C9324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</w:rPr>
      </w:pPr>
      <w:r w:rsidRPr="00E54E52">
        <w:rPr>
          <w:rFonts w:asciiTheme="minorBidi" w:hAnsiTheme="minorBidi"/>
          <w:b/>
          <w:i/>
          <w:iCs/>
        </w:rPr>
        <w:t xml:space="preserve">The following are the joint responsibility of staff in Learner Support and Teaching &amp; Learning </w:t>
      </w:r>
    </w:p>
    <w:p w:rsidRPr="00E54E52" w:rsidR="00BA0A99" w:rsidP="00BA0A99" w:rsidRDefault="00BA0A99" w14:paraId="0CC5A386" w14:textId="77777777">
      <w:pPr>
        <w:autoSpaceDE w:val="0"/>
        <w:autoSpaceDN w:val="0"/>
        <w:adjustRightInd w:val="0"/>
        <w:spacing w:after="14" w:line="240" w:lineRule="auto"/>
        <w:rPr>
          <w:rFonts w:asciiTheme="minorBidi" w:hAnsiTheme="minorBidi"/>
          <w:b/>
        </w:rPr>
      </w:pPr>
    </w:p>
    <w:p w:rsidRPr="00BA0A99" w:rsidR="00BA0A99" w:rsidP="00BA0A99" w:rsidRDefault="00BA0A99" w14:paraId="151EFE2F" w14:textId="77777777">
      <w:pPr>
        <w:autoSpaceDE w:val="0"/>
        <w:autoSpaceDN w:val="0"/>
        <w:adjustRightInd w:val="0"/>
        <w:spacing w:after="14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lastRenderedPageBreak/>
        <w:t xml:space="preserve">1. When it is not possible for the Service to meet the support needs of a learner then that learner will be referred to other provision. </w:t>
      </w:r>
    </w:p>
    <w:p w:rsidRPr="00BA0A99" w:rsidR="00BA0A99" w:rsidP="00BA0A99" w:rsidRDefault="00BA0A99" w14:paraId="610A14E2" w14:textId="77777777">
      <w:pPr>
        <w:autoSpaceDE w:val="0"/>
        <w:autoSpaceDN w:val="0"/>
        <w:adjustRightInd w:val="0"/>
        <w:spacing w:after="14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2. All learners will have the opportunity to evaluate the advice, guidance and support they have received. </w:t>
      </w:r>
    </w:p>
    <w:p w:rsidRPr="00BA0A99" w:rsidR="00BA0A99" w:rsidP="00BA0A99" w:rsidRDefault="00BA0A99" w14:paraId="5AD00AB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3. The Learning Support Staff will regularly monitor provision through: learner, tutor and curriculum manager feedback, line management meetings and achievement data. </w:t>
      </w:r>
    </w:p>
    <w:p w:rsidRPr="00BA0A99" w:rsidR="00BA0A99" w:rsidP="00BA0A99" w:rsidRDefault="00BA0A99" w14:paraId="7A3764B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Pr="006F259D" w:rsidR="00BA0A99" w:rsidP="001F6B70" w:rsidRDefault="00BA0A99" w14:paraId="3A20C68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6F259D">
        <w:rPr>
          <w:rFonts w:asciiTheme="minorBidi" w:hAnsiTheme="minorBidi"/>
          <w:b/>
          <w:bCs/>
        </w:rPr>
        <w:t xml:space="preserve">Monitoring </w:t>
      </w:r>
    </w:p>
    <w:p w:rsidRPr="006F259D" w:rsidR="00BA0A99" w:rsidP="00BA0A99" w:rsidRDefault="00BA0A99" w14:paraId="166E2768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Pr="00BA0A99" w:rsidR="00BA0A99" w:rsidP="00BA0A99" w:rsidRDefault="00BA0A99" w14:paraId="1AEA70E3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The operation of this policy is monitored and evaluated through: </w:t>
      </w:r>
    </w:p>
    <w:p w:rsidRPr="00BA0A99" w:rsidR="00BA0A99" w:rsidP="00BA0A99" w:rsidRDefault="00BA0A99" w14:paraId="2EF97F78" w14:textId="77777777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> The Annual Self-</w:t>
      </w:r>
      <w:proofErr w:type="gramStart"/>
      <w:r w:rsidRPr="00BA0A99">
        <w:rPr>
          <w:rFonts w:asciiTheme="minorBidi" w:hAnsiTheme="minorBidi"/>
        </w:rPr>
        <w:t>assessment</w:t>
      </w:r>
      <w:proofErr w:type="gramEnd"/>
      <w:r w:rsidRPr="00BA0A99">
        <w:rPr>
          <w:rFonts w:asciiTheme="minorBidi" w:hAnsiTheme="minorBidi"/>
        </w:rPr>
        <w:t xml:space="preserve"> Report </w:t>
      </w:r>
    </w:p>
    <w:p w:rsidRPr="00BA0A99" w:rsidR="00BA0A99" w:rsidP="00BA0A99" w:rsidRDefault="00BA0A99" w14:paraId="349BF19E" w14:textId="77777777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 Monthly monitoring reports </w:t>
      </w:r>
    </w:p>
    <w:p w:rsidRPr="00BA0A99" w:rsidR="00BA0A99" w:rsidP="00BA0A99" w:rsidRDefault="00BA0A99" w14:paraId="5D90F7C3" w14:textId="77777777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> Reports to the Governors Performance Monitoring Revi</w:t>
      </w:r>
      <w:r w:rsidRPr="006F259D">
        <w:rPr>
          <w:rFonts w:asciiTheme="minorBidi" w:hAnsiTheme="minorBidi"/>
        </w:rPr>
        <w:t xml:space="preserve">ew Committee on self-assessment </w:t>
      </w:r>
      <w:r w:rsidRPr="00BA0A99">
        <w:rPr>
          <w:rFonts w:asciiTheme="minorBidi" w:hAnsiTheme="minorBidi"/>
        </w:rPr>
        <w:t xml:space="preserve">and development plans </w:t>
      </w:r>
    </w:p>
    <w:p w:rsidRPr="00BA0A99" w:rsidR="00BA0A99" w:rsidP="00BA0A99" w:rsidRDefault="00BA0A99" w14:paraId="1D7DEAFA" w14:textId="77777777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 Reports to the Executive Board of the Service </w:t>
      </w:r>
    </w:p>
    <w:p w:rsidRPr="00EA3358" w:rsidR="00BA0A99" w:rsidP="00BA0A99" w:rsidRDefault="00BA0A99" w14:paraId="02AC4B52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</w:rPr>
      </w:pPr>
      <w:r w:rsidRPr="00BA0A99">
        <w:rPr>
          <w:rFonts w:asciiTheme="minorBidi" w:hAnsiTheme="minorBidi"/>
        </w:rPr>
        <w:t xml:space="preserve"> The policy is reviewed every year by the </w:t>
      </w:r>
      <w:r w:rsidRPr="00EA3358">
        <w:rPr>
          <w:rFonts w:asciiTheme="minorBidi" w:hAnsiTheme="minorBidi"/>
          <w:b/>
        </w:rPr>
        <w:t xml:space="preserve">Director of Teaching &amp; Learning </w:t>
      </w:r>
    </w:p>
    <w:p w:rsidRPr="00EA3358" w:rsidR="000B6A52" w:rsidP="00BA0A99" w:rsidRDefault="000B6A52" w14:paraId="26D23BBE" w14:textId="7777777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</w:rPr>
      </w:pPr>
    </w:p>
    <w:p w:rsidRPr="000B6A52" w:rsidR="00181EBB" w:rsidP="00DD326B" w:rsidRDefault="00BA0A99" w14:paraId="6A4AAF48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"/>
        <w:rPr>
          <w:rFonts w:asciiTheme="minorBidi" w:hAnsiTheme="minorBidi"/>
          <w:sz w:val="24"/>
          <w:szCs w:val="24"/>
          <w:lang w:val="en-GB"/>
        </w:rPr>
      </w:pPr>
      <w:r w:rsidRPr="000B6A52">
        <w:rPr>
          <w:rFonts w:asciiTheme="minorBidi" w:hAnsiTheme="minorBidi"/>
          <w:b/>
          <w:bCs/>
        </w:rPr>
        <w:t xml:space="preserve">Review </w:t>
      </w:r>
      <w:r w:rsidRPr="000B6A52">
        <w:rPr>
          <w:rFonts w:asciiTheme="minorBidi" w:hAnsiTheme="minorBidi"/>
        </w:rPr>
        <w:t xml:space="preserve">This policy may be read in conjunction with the </w:t>
      </w:r>
      <w:r w:rsidRPr="000B6A52">
        <w:rPr>
          <w:rFonts w:asciiTheme="minorBidi" w:hAnsiTheme="minorBidi"/>
          <w:b/>
          <w:bCs/>
        </w:rPr>
        <w:t xml:space="preserve">Learner Recruitment and Selection Policy </w:t>
      </w:r>
      <w:r w:rsidRPr="000B6A52">
        <w:rPr>
          <w:rFonts w:asciiTheme="minorBidi" w:hAnsiTheme="minorBidi"/>
        </w:rPr>
        <w:t xml:space="preserve">and the </w:t>
      </w:r>
      <w:r w:rsidRPr="000B6A52">
        <w:rPr>
          <w:rFonts w:asciiTheme="minorBidi" w:hAnsiTheme="minorBidi"/>
          <w:b/>
          <w:bCs/>
        </w:rPr>
        <w:t>Assessment Policy</w:t>
      </w:r>
      <w:r w:rsidRPr="000B6A52">
        <w:rPr>
          <w:rFonts w:asciiTheme="minorBidi" w:hAnsiTheme="minorBidi"/>
        </w:rPr>
        <w:t>.</w:t>
      </w:r>
    </w:p>
    <w:p w:rsidR="00BA0A99" w:rsidP="00A72A95" w:rsidRDefault="00BA0A99" w14:paraId="4E33440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Pr="006F259D" w:rsidR="00E54E52" w:rsidP="00A72A95" w:rsidRDefault="00E54E52" w14:paraId="1FC5CFCF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Pr="007E0AC8" w:rsidR="00365E77" w:rsidP="2A19EE84" w:rsidRDefault="0097785F" w14:paraId="02C1F711" w14:textId="77777777" w14:noSpellErr="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</w:pPr>
      <w:r w:rsidRPr="2A19EE84" w:rsidR="0097785F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  <w:t xml:space="preserve">End of </w:t>
      </w:r>
      <w:r w:rsidRPr="2A19EE84" w:rsidR="00702C3B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  <w:t>Policy.</w:t>
      </w:r>
    </w:p>
    <w:sectPr w:rsidRPr="007E0AC8" w:rsidR="00365E77" w:rsidSect="00786619">
      <w:headerReference w:type="default" r:id="rId9"/>
      <w:footerReference w:type="default" r:id="rId10"/>
      <w:pgSz w:w="12240" w:h="15840" w:orient="portrait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D3F" w:rsidP="00722D92" w:rsidRDefault="00766D3F" w14:paraId="158900C0" w14:textId="77777777">
      <w:pPr>
        <w:spacing w:after="0" w:line="240" w:lineRule="auto"/>
      </w:pPr>
      <w:r>
        <w:separator/>
      </w:r>
    </w:p>
  </w:endnote>
  <w:endnote w:type="continuationSeparator" w:id="0">
    <w:p w:rsidR="00766D3F" w:rsidP="00722D92" w:rsidRDefault="00766D3F" w14:paraId="317097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800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8D6" w:rsidRDefault="00A508D6" w14:paraId="4025C81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3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5C08" w:rsidP="00786619" w:rsidRDefault="00385C08" w14:paraId="0479276B" w14:textId="77777777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D3F" w:rsidP="00722D92" w:rsidRDefault="00766D3F" w14:paraId="69EA2B24" w14:textId="77777777">
      <w:pPr>
        <w:spacing w:after="0" w:line="240" w:lineRule="auto"/>
      </w:pPr>
      <w:r>
        <w:separator/>
      </w:r>
    </w:p>
  </w:footnote>
  <w:footnote w:type="continuationSeparator" w:id="0">
    <w:p w:rsidR="00766D3F" w:rsidP="00722D92" w:rsidRDefault="00766D3F" w14:paraId="48B2EE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24EE9" w:rsidR="00524EE9" w:rsidP="008179C2" w:rsidRDefault="00524EE9" w14:paraId="5300495C" w14:textId="77777777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1AD7D66B" wp14:editId="65498E0D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 w:rsidR="00BB75E0">
      <w:rPr>
        <w:sz w:val="32"/>
      </w:rPr>
      <w:t xml:space="preserve"> </w:t>
    </w:r>
    <w:r w:rsidR="00490B72">
      <w:rPr>
        <w:sz w:val="32"/>
      </w:rPr>
      <w:t>Learner S</w:t>
    </w:r>
    <w:r w:rsidRPr="008179C2" w:rsidR="008179C2">
      <w:rPr>
        <w:sz w:val="32"/>
      </w:rPr>
      <w:t>upport</w:t>
    </w:r>
    <w:r w:rsidRPr="00503613" w:rsidR="008179C2">
      <w:rPr>
        <w:sz w:val="32"/>
      </w:rPr>
      <w:t xml:space="preserve"> </w:t>
    </w:r>
    <w:r w:rsidRPr="00503613">
      <w:rPr>
        <w:sz w:val="32"/>
      </w:rPr>
      <w:t>Policy</w:t>
    </w:r>
  </w:p>
  <w:p w:rsidR="00385C08" w:rsidP="00524EE9" w:rsidRDefault="00385C08" w14:paraId="4D0B20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C98"/>
    <w:multiLevelType w:val="hybridMultilevel"/>
    <w:tmpl w:val="DB98E01E"/>
    <w:lvl w:ilvl="0" w:tplc="5C28BCA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6087B82"/>
    <w:multiLevelType w:val="hybridMultilevel"/>
    <w:tmpl w:val="58DEA39C"/>
    <w:lvl w:ilvl="0" w:tplc="E9D0639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93151056">
    <w:abstractNumId w:val="2"/>
  </w:num>
  <w:num w:numId="2" w16cid:durableId="1546722859">
    <w:abstractNumId w:val="1"/>
  </w:num>
  <w:num w:numId="3" w16cid:durableId="743915068">
    <w:abstractNumId w:val="3"/>
  </w:num>
  <w:num w:numId="4" w16cid:durableId="5319670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5"/>
    <w:rsid w:val="00010744"/>
    <w:rsid w:val="00043F9F"/>
    <w:rsid w:val="00066CE3"/>
    <w:rsid w:val="000B0E5B"/>
    <w:rsid w:val="000B6A52"/>
    <w:rsid w:val="000B7C00"/>
    <w:rsid w:val="000D7C13"/>
    <w:rsid w:val="000E00AB"/>
    <w:rsid w:val="000F2CFC"/>
    <w:rsid w:val="001814D4"/>
    <w:rsid w:val="00181EBB"/>
    <w:rsid w:val="001A744E"/>
    <w:rsid w:val="001B4EAA"/>
    <w:rsid w:val="001B580A"/>
    <w:rsid w:val="001E1ED3"/>
    <w:rsid w:val="001F34C2"/>
    <w:rsid w:val="001F6B70"/>
    <w:rsid w:val="00200DC3"/>
    <w:rsid w:val="00201BF6"/>
    <w:rsid w:val="00236F11"/>
    <w:rsid w:val="00244A9E"/>
    <w:rsid w:val="00254F25"/>
    <w:rsid w:val="00261468"/>
    <w:rsid w:val="00270467"/>
    <w:rsid w:val="00287672"/>
    <w:rsid w:val="00293DB6"/>
    <w:rsid w:val="002963FD"/>
    <w:rsid w:val="002C705E"/>
    <w:rsid w:val="002D64EE"/>
    <w:rsid w:val="002F32DA"/>
    <w:rsid w:val="002F64A3"/>
    <w:rsid w:val="00301AB1"/>
    <w:rsid w:val="00305871"/>
    <w:rsid w:val="003219AD"/>
    <w:rsid w:val="0035478A"/>
    <w:rsid w:val="003560F4"/>
    <w:rsid w:val="0036275E"/>
    <w:rsid w:val="00365E77"/>
    <w:rsid w:val="00373055"/>
    <w:rsid w:val="00385C08"/>
    <w:rsid w:val="003B7D95"/>
    <w:rsid w:val="003D4A9F"/>
    <w:rsid w:val="003E6B35"/>
    <w:rsid w:val="003F3A80"/>
    <w:rsid w:val="004161D6"/>
    <w:rsid w:val="00441666"/>
    <w:rsid w:val="00467DC1"/>
    <w:rsid w:val="0047067F"/>
    <w:rsid w:val="004730F3"/>
    <w:rsid w:val="00490B72"/>
    <w:rsid w:val="004C4ECF"/>
    <w:rsid w:val="004D1388"/>
    <w:rsid w:val="004D6199"/>
    <w:rsid w:val="004F2F6C"/>
    <w:rsid w:val="00504663"/>
    <w:rsid w:val="00523C4F"/>
    <w:rsid w:val="00524EE9"/>
    <w:rsid w:val="005B2A29"/>
    <w:rsid w:val="005F03A9"/>
    <w:rsid w:val="005F182F"/>
    <w:rsid w:val="00630401"/>
    <w:rsid w:val="006466DD"/>
    <w:rsid w:val="006B23E9"/>
    <w:rsid w:val="006F259D"/>
    <w:rsid w:val="00702C3B"/>
    <w:rsid w:val="00722D92"/>
    <w:rsid w:val="0074711E"/>
    <w:rsid w:val="00747C20"/>
    <w:rsid w:val="00766D3F"/>
    <w:rsid w:val="00782470"/>
    <w:rsid w:val="00783D0A"/>
    <w:rsid w:val="00786619"/>
    <w:rsid w:val="00792327"/>
    <w:rsid w:val="007D3BC6"/>
    <w:rsid w:val="007E0AC8"/>
    <w:rsid w:val="00804A70"/>
    <w:rsid w:val="0081665F"/>
    <w:rsid w:val="008179C2"/>
    <w:rsid w:val="00831951"/>
    <w:rsid w:val="00894DC7"/>
    <w:rsid w:val="0089675F"/>
    <w:rsid w:val="008A3F68"/>
    <w:rsid w:val="008B149D"/>
    <w:rsid w:val="008B18F4"/>
    <w:rsid w:val="008D1437"/>
    <w:rsid w:val="008D1B4B"/>
    <w:rsid w:val="008E0CC5"/>
    <w:rsid w:val="008E274E"/>
    <w:rsid w:val="009544AD"/>
    <w:rsid w:val="0097785F"/>
    <w:rsid w:val="00977DA3"/>
    <w:rsid w:val="009B1438"/>
    <w:rsid w:val="009D2164"/>
    <w:rsid w:val="009D5A71"/>
    <w:rsid w:val="00A11B8F"/>
    <w:rsid w:val="00A508D6"/>
    <w:rsid w:val="00A55696"/>
    <w:rsid w:val="00A66402"/>
    <w:rsid w:val="00A72A95"/>
    <w:rsid w:val="00AB2D20"/>
    <w:rsid w:val="00AB44DD"/>
    <w:rsid w:val="00AC134E"/>
    <w:rsid w:val="00AD7522"/>
    <w:rsid w:val="00AE494B"/>
    <w:rsid w:val="00B029F0"/>
    <w:rsid w:val="00B23F0E"/>
    <w:rsid w:val="00B32413"/>
    <w:rsid w:val="00B34088"/>
    <w:rsid w:val="00B55BD8"/>
    <w:rsid w:val="00B84583"/>
    <w:rsid w:val="00B8645C"/>
    <w:rsid w:val="00B876F5"/>
    <w:rsid w:val="00BA0A99"/>
    <w:rsid w:val="00BA7AD4"/>
    <w:rsid w:val="00BB5D70"/>
    <w:rsid w:val="00BB75E0"/>
    <w:rsid w:val="00BD6D2B"/>
    <w:rsid w:val="00BF5606"/>
    <w:rsid w:val="00C012BF"/>
    <w:rsid w:val="00C07C1A"/>
    <w:rsid w:val="00C856C5"/>
    <w:rsid w:val="00CA37E8"/>
    <w:rsid w:val="00CD39E9"/>
    <w:rsid w:val="00D12924"/>
    <w:rsid w:val="00D50C1D"/>
    <w:rsid w:val="00D744A2"/>
    <w:rsid w:val="00D750A9"/>
    <w:rsid w:val="00DC6255"/>
    <w:rsid w:val="00DE4272"/>
    <w:rsid w:val="00E35099"/>
    <w:rsid w:val="00E4398F"/>
    <w:rsid w:val="00E54E52"/>
    <w:rsid w:val="00E5647F"/>
    <w:rsid w:val="00E60E7D"/>
    <w:rsid w:val="00E80F99"/>
    <w:rsid w:val="00E84B38"/>
    <w:rsid w:val="00EA3358"/>
    <w:rsid w:val="00EA3B9D"/>
    <w:rsid w:val="00EB3761"/>
    <w:rsid w:val="00EB6B6F"/>
    <w:rsid w:val="00EC4694"/>
    <w:rsid w:val="00ED38EE"/>
    <w:rsid w:val="00EE407D"/>
    <w:rsid w:val="00F138A9"/>
    <w:rsid w:val="00F34DFF"/>
    <w:rsid w:val="00F56D3B"/>
    <w:rsid w:val="00FB09F1"/>
    <w:rsid w:val="00FC7632"/>
    <w:rsid w:val="00FE5260"/>
    <w:rsid w:val="04FCC334"/>
    <w:rsid w:val="14163D57"/>
    <w:rsid w:val="2A19EE84"/>
    <w:rsid w:val="46CC0DF9"/>
    <w:rsid w:val="5936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A1C5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hAnsiTheme="majorBid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hAnsiTheme="majorBidi"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styleId="QualificationTitle" w:customStyle="1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styleId="AssignmentBrief" w:customStyle="1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D92"/>
  </w:style>
  <w:style w:type="paragraph" w:styleId="UnitTitle" w:customStyle="1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hAnsi="Open Sans" w:eastAsia="Open Sans" w:cs="Times New Roman"/>
      <w:sz w:val="32"/>
      <w:szCs w:val="24"/>
    </w:rPr>
  </w:style>
  <w:style w:type="paragraph" w:styleId="SAMs" w:customStyle="1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A3B9D"/>
    <w:rPr>
      <w:rFonts w:asciiTheme="majorBidi" w:hAnsiTheme="majorBidi"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814D4"/>
    <w:rPr>
      <w:rFonts w:asciiTheme="majorBidi" w:hAnsiTheme="majorBidi" w:eastAsiaTheme="majorEastAsia" w:cstheme="majorBidi"/>
      <w:b/>
      <w:sz w:val="32"/>
      <w:szCs w:val="32"/>
    </w:rPr>
  </w:style>
  <w:style w:type="paragraph" w:styleId="Default" w:customStyle="1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ED38EE"/>
    <w:rPr>
      <w:rFonts w:ascii="Arial" w:hAnsi="Arial" w:eastAsia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styleId="Heading3Char" w:customStyle="1">
    <w:name w:val="Heading 3 Char"/>
    <w:basedOn w:val="DefaultParagraphFont"/>
    <w:link w:val="Heading3"/>
    <w:rsid w:val="003219AD"/>
    <w:rPr>
      <w:rFonts w:ascii="Arial" w:hAnsi="Arial" w:eastAsia="Times New Roman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70e443abe6f34205" /><Relationship Type="http://schemas.openxmlformats.org/officeDocument/2006/relationships/image" Target="/media/image3.png" Id="R81b34a874aa644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54ac-97dc-47b2-a3cd-b878142776c6}"/>
      </w:docPartPr>
      <w:docPartBody>
        <w:p w14:paraId="4203900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D09D-2B4A-42A5-8CB9-086F54BF7B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user-pc</dc:creator>
  <lastModifiedBy>rumiana.bahova</lastModifiedBy>
  <revision>17</revision>
  <dcterms:created xsi:type="dcterms:W3CDTF">2018-09-06T11:12:00.0000000Z</dcterms:created>
  <dcterms:modified xsi:type="dcterms:W3CDTF">2023-11-15T08:12:21.0736157Z</dcterms:modified>
</coreProperties>
</file>